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0504D" w:themeColor="accent2"/>
  <w:body>
    <w:p w:rsidR="004457F3" w:rsidRPr="004457F3" w:rsidRDefault="004457F3" w:rsidP="004457F3">
      <w:pPr>
        <w:widowControl/>
        <w:spacing w:line="450" w:lineRule="atLeast"/>
        <w:rPr>
          <w:rFonts w:ascii="微软雅黑" w:eastAsia="微软雅黑" w:hAnsi="微软雅黑" w:cs="宋体"/>
          <w:color w:val="333333"/>
          <w:kern w:val="0"/>
          <w:sz w:val="24"/>
          <w:szCs w:val="24"/>
        </w:rPr>
      </w:pPr>
      <w:r w:rsidRPr="004457F3">
        <w:rPr>
          <w:rFonts w:ascii="微软雅黑" w:eastAsia="微软雅黑" w:hAnsi="微软雅黑" w:cs="宋体" w:hint="eastAsia"/>
          <w:b/>
          <w:bCs/>
          <w:color w:val="333333"/>
          <w:kern w:val="0"/>
          <w:sz w:val="24"/>
          <w:szCs w:val="24"/>
        </w:rPr>
        <w:t>（一）参加全国统考及联考的考生</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47"/>
        <w:gridCol w:w="774"/>
        <w:gridCol w:w="773"/>
        <w:gridCol w:w="773"/>
        <w:gridCol w:w="984"/>
        <w:gridCol w:w="984"/>
      </w:tblGrid>
      <w:tr w:rsidR="004457F3" w:rsidRPr="004457F3" w:rsidTr="004457F3">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学科门类</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总分</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政治</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外语</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业务一</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业务二</w:t>
            </w:r>
          </w:p>
        </w:tc>
      </w:tr>
      <w:tr w:rsidR="004457F3" w:rsidRPr="004457F3" w:rsidTr="004457F3">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lef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01哲学</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320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60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r>
      <w:tr w:rsidR="004457F3" w:rsidRPr="004457F3" w:rsidTr="004457F3">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lef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02经济学</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350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60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60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r>
      <w:tr w:rsidR="004457F3" w:rsidRPr="004457F3" w:rsidTr="004457F3">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lef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0301法学</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325</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60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55</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r>
      <w:tr w:rsidR="004457F3" w:rsidRPr="004457F3" w:rsidTr="004457F3">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lef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0305马克思主义理论</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320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60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r>
      <w:tr w:rsidR="004457F3" w:rsidRPr="004457F3" w:rsidTr="004457F3">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lef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0401教育学</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315</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60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60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175</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 </w:t>
            </w:r>
          </w:p>
        </w:tc>
      </w:tr>
      <w:tr w:rsidR="004457F3" w:rsidRPr="004457F3" w:rsidTr="004457F3">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lef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0403体育学</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325</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45</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35</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210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 </w:t>
            </w:r>
          </w:p>
        </w:tc>
      </w:tr>
      <w:tr w:rsidR="004457F3" w:rsidRPr="004457F3" w:rsidTr="004457F3">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lef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0502外国语言文学</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350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60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60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r>
      <w:tr w:rsidR="004457F3" w:rsidRPr="004457F3" w:rsidTr="004457F3">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lef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0503新闻传播学</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360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60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60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r>
      <w:tr w:rsidR="004457F3" w:rsidRPr="004457F3" w:rsidTr="004457F3">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lef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07理学</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315</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85</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85</w:t>
            </w:r>
          </w:p>
        </w:tc>
      </w:tr>
      <w:tr w:rsidR="004457F3" w:rsidRPr="004457F3" w:rsidTr="004457F3">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lef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08工学（不含计算机、软件、建筑类）</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325</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85</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85</w:t>
            </w:r>
          </w:p>
        </w:tc>
      </w:tr>
      <w:tr w:rsidR="004457F3" w:rsidRPr="004457F3" w:rsidTr="004457F3">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lef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 xml:space="preserve">　0812计算机科学与技术、0835软件工程</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300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75</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75</w:t>
            </w:r>
          </w:p>
        </w:tc>
      </w:tr>
      <w:tr w:rsidR="004457F3" w:rsidRPr="004457F3" w:rsidTr="004457F3">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lef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 xml:space="preserve">　0813建筑学、0833城乡规划学、0834风景园林学</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320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85</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r>
      <w:tr w:rsidR="004457F3" w:rsidRPr="004457F3" w:rsidTr="004457F3">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lef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12管理学</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350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55</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55</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r>
      <w:tr w:rsidR="004457F3" w:rsidRPr="004457F3" w:rsidTr="004457F3">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lef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13艺术学</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315</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40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c>
          <w:tcPr>
            <w:tcW w:w="0" w:type="auto"/>
            <w:noWrap/>
            <w:tcMar>
              <w:top w:w="0" w:type="dxa"/>
              <w:left w:w="150" w:type="dxa"/>
              <w:bottom w:w="0" w:type="dxa"/>
              <w:right w:w="150" w:type="dxa"/>
            </w:tcMar>
            <w:vAlign w:val="center"/>
            <w:hideMark/>
          </w:tcPr>
          <w:p w:rsidR="004457F3" w:rsidRPr="004457F3" w:rsidRDefault="004457F3" w:rsidP="004457F3">
            <w:pPr>
              <w:widowControl/>
              <w:spacing w:line="450" w:lineRule="atLeast"/>
              <w:jc w:val="center"/>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r>
    </w:tbl>
    <w:p w:rsidR="004457F3" w:rsidRPr="004457F3" w:rsidRDefault="004457F3" w:rsidP="004457F3">
      <w:pPr>
        <w:widowControl/>
        <w:jc w:val="left"/>
        <w:rPr>
          <w:rFonts w:ascii="宋体" w:eastAsia="宋体" w:hAnsi="宋体" w:cs="宋体"/>
          <w:b/>
          <w:vanish/>
          <w:kern w:val="0"/>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40"/>
        <w:gridCol w:w="1708"/>
        <w:gridCol w:w="827"/>
        <w:gridCol w:w="827"/>
        <w:gridCol w:w="827"/>
        <w:gridCol w:w="1053"/>
        <w:gridCol w:w="1053"/>
      </w:tblGrid>
      <w:tr w:rsidR="004457F3" w:rsidRPr="004457F3" w:rsidTr="004457F3">
        <w:trPr>
          <w:trHeight w:val="270"/>
        </w:trPr>
        <w:tc>
          <w:tcPr>
            <w:tcW w:w="0" w:type="auto"/>
            <w:gridSpan w:val="2"/>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专业学位类别</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总分</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政治</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外语</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业务一</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业务二</w:t>
            </w:r>
          </w:p>
        </w:tc>
      </w:tr>
      <w:tr w:rsidR="004457F3" w:rsidRPr="004457F3" w:rsidTr="004457F3">
        <w:trPr>
          <w:trHeight w:val="270"/>
        </w:trPr>
        <w:tc>
          <w:tcPr>
            <w:tcW w:w="0" w:type="auto"/>
            <w:gridSpan w:val="2"/>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0251金融</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350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55</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55</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r>
      <w:tr w:rsidR="004457F3" w:rsidRPr="004457F3" w:rsidTr="004457F3">
        <w:trPr>
          <w:trHeight w:val="270"/>
        </w:trPr>
        <w:tc>
          <w:tcPr>
            <w:tcW w:w="0" w:type="auto"/>
            <w:gridSpan w:val="2"/>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0351法律</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310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60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85</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85</w:t>
            </w:r>
          </w:p>
        </w:tc>
      </w:tr>
      <w:tr w:rsidR="004457F3" w:rsidRPr="004457F3" w:rsidTr="004457F3">
        <w:trPr>
          <w:trHeight w:val="270"/>
        </w:trPr>
        <w:tc>
          <w:tcPr>
            <w:tcW w:w="0" w:type="auto"/>
            <w:vMerge w:val="restart"/>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0352社会工作</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脱产班</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340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60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60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r>
      <w:tr w:rsidR="004457F3" w:rsidRPr="004457F3" w:rsidTr="004457F3">
        <w:trPr>
          <w:trHeight w:val="270"/>
        </w:trPr>
        <w:tc>
          <w:tcPr>
            <w:tcW w:w="0" w:type="auto"/>
            <w:vMerge/>
            <w:vAlign w:val="center"/>
            <w:hideMark/>
          </w:tcPr>
          <w:p w:rsidR="004457F3" w:rsidRPr="004457F3" w:rsidRDefault="004457F3" w:rsidP="004457F3">
            <w:pPr>
              <w:widowControl/>
              <w:jc w:val="left"/>
              <w:rPr>
                <w:rFonts w:ascii="微软雅黑" w:eastAsia="微软雅黑" w:hAnsi="微软雅黑" w:cs="宋体"/>
                <w:b/>
                <w:color w:val="333333"/>
                <w:kern w:val="0"/>
                <w:sz w:val="18"/>
                <w:szCs w:val="18"/>
              </w:rPr>
            </w:pP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在职班</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315</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40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r>
      <w:tr w:rsidR="004457F3" w:rsidRPr="004457F3" w:rsidTr="004457F3">
        <w:trPr>
          <w:trHeight w:val="270"/>
        </w:trPr>
        <w:tc>
          <w:tcPr>
            <w:tcW w:w="0" w:type="auto"/>
            <w:gridSpan w:val="2"/>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0551翻译</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350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60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60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r>
      <w:tr w:rsidR="004457F3" w:rsidRPr="004457F3" w:rsidTr="004457F3">
        <w:trPr>
          <w:trHeight w:val="270"/>
        </w:trPr>
        <w:tc>
          <w:tcPr>
            <w:tcW w:w="0" w:type="auto"/>
            <w:vMerge w:val="restart"/>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0552新闻与传播</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脱产班</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330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60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60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r>
      <w:tr w:rsidR="004457F3" w:rsidRPr="004457F3" w:rsidTr="004457F3">
        <w:trPr>
          <w:trHeight w:val="270"/>
        </w:trPr>
        <w:tc>
          <w:tcPr>
            <w:tcW w:w="0" w:type="auto"/>
            <w:vMerge/>
            <w:vAlign w:val="center"/>
            <w:hideMark/>
          </w:tcPr>
          <w:p w:rsidR="004457F3" w:rsidRPr="004457F3" w:rsidRDefault="004457F3" w:rsidP="004457F3">
            <w:pPr>
              <w:widowControl/>
              <w:jc w:val="left"/>
              <w:rPr>
                <w:rFonts w:ascii="微软雅黑" w:eastAsia="微软雅黑" w:hAnsi="微软雅黑" w:cs="宋体"/>
                <w:b/>
                <w:color w:val="333333"/>
                <w:kern w:val="0"/>
                <w:sz w:val="18"/>
                <w:szCs w:val="18"/>
              </w:rPr>
            </w:pP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在职班</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300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60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40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85</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85</w:t>
            </w:r>
          </w:p>
        </w:tc>
      </w:tr>
      <w:tr w:rsidR="004457F3" w:rsidRPr="004457F3" w:rsidTr="004457F3">
        <w:trPr>
          <w:trHeight w:val="270"/>
        </w:trPr>
        <w:tc>
          <w:tcPr>
            <w:tcW w:w="0" w:type="auto"/>
            <w:gridSpan w:val="2"/>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0852工程（不含计算机、软件）</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325</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85</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85</w:t>
            </w:r>
          </w:p>
        </w:tc>
      </w:tr>
      <w:tr w:rsidR="004457F3" w:rsidRPr="004457F3" w:rsidTr="004457F3">
        <w:trPr>
          <w:trHeight w:val="270"/>
        </w:trPr>
        <w:tc>
          <w:tcPr>
            <w:tcW w:w="0" w:type="auto"/>
            <w:gridSpan w:val="2"/>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 xml:space="preserve">　085211计算机技术、085212软件工程</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300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75</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75</w:t>
            </w:r>
          </w:p>
        </w:tc>
      </w:tr>
      <w:tr w:rsidR="004457F3" w:rsidRPr="004457F3" w:rsidTr="004457F3">
        <w:trPr>
          <w:trHeight w:val="270"/>
        </w:trPr>
        <w:tc>
          <w:tcPr>
            <w:tcW w:w="0" w:type="auto"/>
            <w:gridSpan w:val="2"/>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0851建筑学、0853城市规划、0953风景园林</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320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50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85</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r>
      <w:tr w:rsidR="004457F3" w:rsidRPr="004457F3" w:rsidTr="004457F3">
        <w:trPr>
          <w:trHeight w:val="270"/>
        </w:trPr>
        <w:tc>
          <w:tcPr>
            <w:tcW w:w="0" w:type="auto"/>
            <w:gridSpan w:val="2"/>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1251工商管理</w:t>
            </w:r>
          </w:p>
        </w:tc>
        <w:tc>
          <w:tcPr>
            <w:tcW w:w="0" w:type="auto"/>
            <w:gridSpan w:val="5"/>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采用教育部一区（A类）线</w:t>
            </w:r>
          </w:p>
        </w:tc>
      </w:tr>
      <w:tr w:rsidR="004457F3" w:rsidRPr="004457F3" w:rsidTr="004457F3">
        <w:trPr>
          <w:trHeight w:val="270"/>
        </w:trPr>
        <w:tc>
          <w:tcPr>
            <w:tcW w:w="0" w:type="auto"/>
            <w:gridSpan w:val="2"/>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1252公共管理</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150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 xml:space="preserve">　</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40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 xml:space="preserve">　</w:t>
            </w:r>
          </w:p>
        </w:tc>
      </w:tr>
      <w:tr w:rsidR="004457F3" w:rsidRPr="004457F3" w:rsidTr="004457F3">
        <w:trPr>
          <w:trHeight w:val="270"/>
        </w:trPr>
        <w:tc>
          <w:tcPr>
            <w:tcW w:w="0" w:type="auto"/>
            <w:vMerge w:val="restart"/>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lastRenderedPageBreak/>
              <w:t>1253会计</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脱产班</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215</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 xml:space="preserve">　</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70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125</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 xml:space="preserve">　</w:t>
            </w:r>
          </w:p>
        </w:tc>
      </w:tr>
      <w:tr w:rsidR="004457F3" w:rsidRPr="004457F3" w:rsidTr="004457F3">
        <w:trPr>
          <w:trHeight w:val="270"/>
        </w:trPr>
        <w:tc>
          <w:tcPr>
            <w:tcW w:w="0" w:type="auto"/>
            <w:vMerge/>
            <w:vAlign w:val="center"/>
            <w:hideMark/>
          </w:tcPr>
          <w:p w:rsidR="004457F3" w:rsidRPr="004457F3" w:rsidRDefault="004457F3" w:rsidP="004457F3">
            <w:pPr>
              <w:widowControl/>
              <w:jc w:val="left"/>
              <w:rPr>
                <w:rFonts w:ascii="微软雅黑" w:eastAsia="微软雅黑" w:hAnsi="微软雅黑" w:cs="宋体"/>
                <w:b/>
                <w:color w:val="333333"/>
                <w:kern w:val="0"/>
                <w:sz w:val="18"/>
                <w:szCs w:val="18"/>
              </w:rPr>
            </w:pP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在职班</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160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 xml:space="preserve">　</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45</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 xml:space="preserve">　</w:t>
            </w:r>
          </w:p>
        </w:tc>
      </w:tr>
      <w:tr w:rsidR="004457F3" w:rsidRPr="004457F3" w:rsidTr="004457F3">
        <w:trPr>
          <w:trHeight w:val="270"/>
        </w:trPr>
        <w:tc>
          <w:tcPr>
            <w:tcW w:w="0" w:type="auto"/>
            <w:gridSpan w:val="2"/>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1256工程管理</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160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 xml:space="preserve">　</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45</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c>
          <w:tcPr>
            <w:tcW w:w="0" w:type="auto"/>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 xml:space="preserve">　</w:t>
            </w:r>
          </w:p>
        </w:tc>
      </w:tr>
      <w:tr w:rsidR="004457F3" w:rsidRPr="004457F3" w:rsidTr="004457F3">
        <w:trPr>
          <w:trHeight w:val="285"/>
        </w:trPr>
        <w:tc>
          <w:tcPr>
            <w:tcW w:w="0" w:type="auto"/>
            <w:gridSpan w:val="2"/>
            <w:shd w:val="clear" w:color="auto" w:fill="F0F0F0"/>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1351艺术</w:t>
            </w:r>
          </w:p>
        </w:tc>
        <w:tc>
          <w:tcPr>
            <w:tcW w:w="0" w:type="auto"/>
            <w:shd w:val="clear" w:color="auto" w:fill="F0F0F0"/>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315</w:t>
            </w:r>
          </w:p>
        </w:tc>
        <w:tc>
          <w:tcPr>
            <w:tcW w:w="0" w:type="auto"/>
            <w:shd w:val="clear" w:color="auto" w:fill="F0F0F0"/>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40</w:t>
            </w:r>
          </w:p>
        </w:tc>
        <w:tc>
          <w:tcPr>
            <w:tcW w:w="0" w:type="auto"/>
            <w:shd w:val="clear" w:color="auto" w:fill="F0F0F0"/>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30</w:t>
            </w:r>
          </w:p>
        </w:tc>
        <w:tc>
          <w:tcPr>
            <w:tcW w:w="0" w:type="auto"/>
            <w:shd w:val="clear" w:color="auto" w:fill="F0F0F0"/>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c>
          <w:tcPr>
            <w:tcW w:w="0" w:type="auto"/>
            <w:shd w:val="clear" w:color="auto" w:fill="F0F0F0"/>
            <w:tcMar>
              <w:top w:w="0" w:type="dxa"/>
              <w:left w:w="150" w:type="dxa"/>
              <w:bottom w:w="0" w:type="dxa"/>
              <w:right w:w="150" w:type="dxa"/>
            </w:tcMar>
            <w:vAlign w:val="center"/>
            <w:hideMark/>
          </w:tcPr>
          <w:p w:rsidR="004457F3" w:rsidRPr="004457F3" w:rsidRDefault="004457F3" w:rsidP="004457F3">
            <w:pPr>
              <w:widowControl/>
              <w:spacing w:line="450" w:lineRule="atLeast"/>
              <w:rPr>
                <w:rFonts w:ascii="微软雅黑" w:eastAsia="微软雅黑" w:hAnsi="微软雅黑" w:cs="宋体"/>
                <w:b/>
                <w:color w:val="333333"/>
                <w:kern w:val="0"/>
                <w:sz w:val="18"/>
                <w:szCs w:val="18"/>
              </w:rPr>
            </w:pPr>
            <w:r w:rsidRPr="004457F3">
              <w:rPr>
                <w:rFonts w:ascii="微软雅黑" w:eastAsia="微软雅黑" w:hAnsi="微软雅黑" w:cs="宋体" w:hint="eastAsia"/>
                <w:b/>
                <w:color w:val="333333"/>
                <w:kern w:val="0"/>
                <w:sz w:val="18"/>
                <w:szCs w:val="18"/>
              </w:rPr>
              <w:t>90</w:t>
            </w:r>
          </w:p>
        </w:tc>
      </w:tr>
    </w:tbl>
    <w:p w:rsidR="00F14905" w:rsidRDefault="004457F3">
      <w:r>
        <w:rPr>
          <w:rStyle w:val="a4"/>
          <w:rFonts w:ascii="微软雅黑" w:eastAsia="微软雅黑" w:hAnsi="微软雅黑" w:hint="eastAsia"/>
          <w:color w:val="333333"/>
        </w:rPr>
        <w:t>（二）参加全国统考，总分和三门单科成绩符合上表所在类型要求，满足以下条件之一，一门单科成绩低于所在类型要求5分以内者可向学院申请参加复试：</w:t>
      </w:r>
      <w:r>
        <w:rPr>
          <w:rFonts w:ascii="微软雅黑" w:eastAsia="微软雅黑" w:hAnsi="微软雅黑" w:hint="eastAsia"/>
          <w:color w:val="333333"/>
        </w:rPr>
        <w:br/>
        <w:t xml:space="preserve">　　1.统考数学一、二、三成绩在135分以上；</w:t>
      </w:r>
      <w:r>
        <w:rPr>
          <w:rFonts w:ascii="微软雅黑" w:eastAsia="微软雅黑" w:hAnsi="微软雅黑" w:hint="eastAsia"/>
          <w:color w:val="333333"/>
        </w:rPr>
        <w:br/>
        <w:t xml:space="preserve">　　2.我校自命题专业科目（满分150分）成绩在135分以上、建筑类设计科目（考试时间六小时）成绩在120分以上，且在该科目排名前10%（或排名第一）；</w:t>
      </w:r>
      <w:r>
        <w:rPr>
          <w:rFonts w:ascii="微软雅黑" w:eastAsia="微软雅黑" w:hAnsi="微软雅黑" w:hint="eastAsia"/>
          <w:color w:val="333333"/>
        </w:rPr>
        <w:br/>
        <w:t xml:space="preserve">　　3.报考07理学、08工学，总分370分以上且业务课一、业务课二均在120分以上。</w:t>
      </w:r>
      <w:r>
        <w:rPr>
          <w:rFonts w:ascii="微软雅黑" w:eastAsia="微软雅黑" w:hAnsi="微软雅黑" w:hint="eastAsia"/>
          <w:color w:val="333333"/>
        </w:rPr>
        <w:br/>
        <w:t xml:space="preserve">　　</w:t>
      </w:r>
      <w:r>
        <w:rPr>
          <w:rStyle w:val="a4"/>
          <w:rFonts w:ascii="微软雅黑" w:eastAsia="微软雅黑" w:hAnsi="微软雅黑" w:hint="eastAsia"/>
          <w:color w:val="333333"/>
        </w:rPr>
        <w:t>（三）参加全国统考，报考0301法学专业，成绩与本科专业背景满足035102法律（法学）要求；报考07理学、08工学专业，成绩与专业背景满足085212软件工程硕士要求，可申请参加对应专业学位复试。</w:t>
      </w:r>
      <w:r>
        <w:rPr>
          <w:rFonts w:ascii="微软雅黑" w:eastAsia="微软雅黑" w:hAnsi="微软雅黑" w:hint="eastAsia"/>
          <w:color w:val="333333"/>
        </w:rPr>
        <w:br/>
        <w:t xml:space="preserve">　　</w:t>
      </w:r>
      <w:r>
        <w:rPr>
          <w:rStyle w:val="a4"/>
          <w:rFonts w:ascii="微软雅黑" w:eastAsia="微软雅黑" w:hAnsi="微软雅黑" w:hint="eastAsia"/>
          <w:color w:val="333333"/>
        </w:rPr>
        <w:t>（四）参加全国统考，报考07理学、08工学专业且专业背景满足要求，申请我校与法国南特大学、法国国立科学与技术学院联合培养项目，初试成绩满足教育部对应门类一区（A类）最低复试成绩要求，可申请参加相关项目复试。</w:t>
      </w:r>
      <w:r>
        <w:rPr>
          <w:rFonts w:ascii="微软雅黑" w:eastAsia="微软雅黑" w:hAnsi="微软雅黑" w:hint="eastAsia"/>
          <w:b/>
          <w:bCs/>
          <w:color w:val="333333"/>
        </w:rPr>
        <w:br/>
      </w:r>
      <w:r>
        <w:rPr>
          <w:rStyle w:val="a4"/>
          <w:rFonts w:ascii="微软雅黑" w:eastAsia="微软雅黑" w:hAnsi="微软雅黑" w:hint="eastAsia"/>
          <w:color w:val="333333"/>
        </w:rPr>
        <w:t xml:space="preserve">　　（五）参加单独考试的考生</w:t>
      </w:r>
      <w:r>
        <w:rPr>
          <w:rFonts w:ascii="微软雅黑" w:eastAsia="微软雅黑" w:hAnsi="微软雅黑" w:hint="eastAsia"/>
          <w:color w:val="333333"/>
        </w:rPr>
        <w:br/>
        <w:t xml:space="preserve">　　总分305，单科不低于45分。</w:t>
      </w:r>
      <w:r>
        <w:rPr>
          <w:rFonts w:ascii="微软雅黑" w:eastAsia="微软雅黑" w:hAnsi="微软雅黑" w:hint="eastAsia"/>
          <w:color w:val="333333"/>
        </w:rPr>
        <w:br/>
        <w:t xml:space="preserve">　　</w:t>
      </w:r>
      <w:r>
        <w:rPr>
          <w:rStyle w:val="a4"/>
          <w:rFonts w:ascii="微软雅黑" w:eastAsia="微软雅黑" w:hAnsi="微软雅黑" w:hint="eastAsia"/>
          <w:color w:val="333333"/>
        </w:rPr>
        <w:t>（八）强军计划考生</w:t>
      </w:r>
      <w:r>
        <w:rPr>
          <w:rFonts w:ascii="微软雅黑" w:eastAsia="微软雅黑" w:hAnsi="微软雅黑" w:hint="eastAsia"/>
          <w:color w:val="333333"/>
        </w:rPr>
        <w:br/>
        <w:t xml:space="preserve">　　总分290，单科不限。</w:t>
      </w:r>
      <w:r>
        <w:rPr>
          <w:rFonts w:ascii="微软雅黑" w:eastAsia="微软雅黑" w:hAnsi="微软雅黑" w:hint="eastAsia"/>
          <w:color w:val="333333"/>
        </w:rPr>
        <w:br/>
        <w:t xml:space="preserve">　　</w:t>
      </w:r>
      <w:r>
        <w:rPr>
          <w:rStyle w:val="a4"/>
          <w:rFonts w:ascii="微软雅黑" w:eastAsia="微软雅黑" w:hAnsi="微软雅黑" w:hint="eastAsia"/>
          <w:color w:val="333333"/>
        </w:rPr>
        <w:t>（九）报考国家少数民族高层次骨干人才培养计划的考生，符合教育部该计划最低复试分数线者，由学校按教育部规定工作程序另行确定成绩要求并通知复试。</w:t>
      </w:r>
      <w:r>
        <w:rPr>
          <w:rFonts w:ascii="微软雅黑" w:eastAsia="微软雅黑" w:hAnsi="微软雅黑" w:hint="eastAsia"/>
          <w:b/>
          <w:bCs/>
          <w:color w:val="333333"/>
        </w:rPr>
        <w:br/>
      </w:r>
      <w:r>
        <w:rPr>
          <w:rStyle w:val="a4"/>
          <w:rFonts w:ascii="微软雅黑" w:eastAsia="微软雅黑" w:hAnsi="微软雅黑" w:hint="eastAsia"/>
          <w:color w:val="333333"/>
        </w:rPr>
        <w:t xml:space="preserve">　　（十）生源充足的学科、专业可由学院根据实际情况制订高于上述标准的最低复试分数</w:t>
      </w:r>
      <w:r>
        <w:rPr>
          <w:rStyle w:val="a4"/>
          <w:rFonts w:ascii="微软雅黑" w:eastAsia="微软雅黑" w:hAnsi="微软雅黑" w:hint="eastAsia"/>
          <w:color w:val="333333"/>
        </w:rPr>
        <w:lastRenderedPageBreak/>
        <w:t>线。初试成绩未达学院线但达到所在学科学校最低复试分数线，且全日制本科毕业于国家重点大学或国家重点学科专业者可向学院申请复试资格。</w:t>
      </w:r>
    </w:p>
    <w:sectPr w:rsidR="00F14905" w:rsidSect="009C1CB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DFE" w:rsidRDefault="00113DFE" w:rsidP="004457F3">
      <w:r>
        <w:separator/>
      </w:r>
    </w:p>
  </w:endnote>
  <w:endnote w:type="continuationSeparator" w:id="0">
    <w:p w:rsidR="00113DFE" w:rsidRDefault="00113DFE" w:rsidP="004457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F3" w:rsidRDefault="004457F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F3" w:rsidRDefault="004457F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F3" w:rsidRDefault="004457F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DFE" w:rsidRDefault="00113DFE" w:rsidP="004457F3">
      <w:r>
        <w:separator/>
      </w:r>
    </w:p>
  </w:footnote>
  <w:footnote w:type="continuationSeparator" w:id="0">
    <w:p w:rsidR="00113DFE" w:rsidRDefault="00113DFE" w:rsidP="004457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F3" w:rsidRDefault="004457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7376" o:spid="_x0000_s2050" type="#_x0000_t136" style="position:absolute;left:0;text-align:left;margin-left:0;margin-top:0;width:520.4pt;height:65.05pt;rotation:315;z-index:-251654144;mso-position-horizontal:center;mso-position-horizontal-relative:margin;mso-position-vertical:center;mso-position-vertical-relative:margin" o:allowincell="f" fillcolor="#484329 [814]" stroked="f">
          <v:fill opacity=".5"/>
          <v:textpath style="font-family:&quot;宋体&quot;;font-size:1pt" string="育明考研广州分校"/>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F3" w:rsidRDefault="004457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7377" o:spid="_x0000_s2051" type="#_x0000_t136" style="position:absolute;left:0;text-align:left;margin-left:0;margin-top:0;width:520.4pt;height:89.4pt;rotation:315;z-index:-251652096;mso-position-horizontal:center;mso-position-horizontal-relative:margin;mso-position-vertical:center;mso-position-vertical-relative:margin" o:allowincell="f" fillcolor="#484329 [814]" stroked="f">
          <v:fill opacity=".5"/>
          <v:textpath style="font-family:&quot;宋体&quot;;font-size:1pt" string="育明考研广州分校"/>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F3" w:rsidRDefault="004457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17375" o:spid="_x0000_s2049" type="#_x0000_t136" style="position:absolute;left:0;text-align:left;margin-left:0;margin-top:0;width:520.4pt;height:65.05pt;rotation:315;z-index:-251656192;mso-position-horizontal:center;mso-position-horizontal-relative:margin;mso-position-vertical:center;mso-position-vertical-relative:margin" o:allowincell="f" fillcolor="#484329 [814]" stroked="f">
          <v:fill opacity=".5"/>
          <v:textpath style="font-family:&quot;宋体&quot;;font-size:1pt" string="育明考研广州分校"/>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colormenu v:ext="edit" fillcolor="none [3205]"/>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57F3"/>
    <w:rsid w:val="00113DFE"/>
    <w:rsid w:val="004457F3"/>
    <w:rsid w:val="00921A79"/>
    <w:rsid w:val="009C1CBA"/>
    <w:rsid w:val="00AC0C0C"/>
    <w:rsid w:val="00B739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C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7F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57F3"/>
    <w:rPr>
      <w:b/>
      <w:bCs/>
    </w:rPr>
  </w:style>
  <w:style w:type="paragraph" w:styleId="a5">
    <w:name w:val="header"/>
    <w:basedOn w:val="a"/>
    <w:link w:val="Char"/>
    <w:uiPriority w:val="99"/>
    <w:semiHidden/>
    <w:unhideWhenUsed/>
    <w:rsid w:val="004457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457F3"/>
    <w:rPr>
      <w:sz w:val="18"/>
      <w:szCs w:val="18"/>
    </w:rPr>
  </w:style>
  <w:style w:type="paragraph" w:styleId="a6">
    <w:name w:val="footer"/>
    <w:basedOn w:val="a"/>
    <w:link w:val="Char0"/>
    <w:uiPriority w:val="99"/>
    <w:semiHidden/>
    <w:unhideWhenUsed/>
    <w:rsid w:val="004457F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457F3"/>
    <w:rPr>
      <w:sz w:val="18"/>
      <w:szCs w:val="18"/>
    </w:rPr>
  </w:style>
</w:styles>
</file>

<file path=word/webSettings.xml><?xml version="1.0" encoding="utf-8"?>
<w:webSettings xmlns:r="http://schemas.openxmlformats.org/officeDocument/2006/relationships" xmlns:w="http://schemas.openxmlformats.org/wordprocessingml/2006/main">
  <w:divs>
    <w:div w:id="24546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2015-06-04T12:24:00Z</dcterms:created>
  <dcterms:modified xsi:type="dcterms:W3CDTF">2015-06-04T12:27:00Z</dcterms:modified>
</cp:coreProperties>
</file>